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125" w:rsidRDefault="00865125" w:rsidP="00E9502E">
      <w:pPr>
        <w:spacing w:after="0" w:line="480" w:lineRule="auto"/>
        <w:jc w:val="center"/>
      </w:pPr>
    </w:p>
    <w:p w:rsidR="00865125" w:rsidRDefault="00865125" w:rsidP="00E9502E">
      <w:pPr>
        <w:spacing w:after="0" w:line="480" w:lineRule="auto"/>
        <w:jc w:val="center"/>
      </w:pPr>
    </w:p>
    <w:p w:rsidR="00865125" w:rsidRDefault="00865125" w:rsidP="00E9502E">
      <w:pPr>
        <w:spacing w:after="0" w:line="480" w:lineRule="auto"/>
        <w:jc w:val="center"/>
      </w:pPr>
    </w:p>
    <w:p w:rsidR="00865125" w:rsidRDefault="00865125" w:rsidP="00E9502E">
      <w:pPr>
        <w:spacing w:after="0" w:line="480" w:lineRule="auto"/>
        <w:jc w:val="center"/>
      </w:pPr>
    </w:p>
    <w:p w:rsidR="00865125" w:rsidRDefault="00865125" w:rsidP="00E9502E">
      <w:pPr>
        <w:spacing w:after="0" w:line="480" w:lineRule="auto"/>
        <w:jc w:val="center"/>
      </w:pPr>
    </w:p>
    <w:p w:rsidR="00865125" w:rsidRDefault="00865125" w:rsidP="00E9502E">
      <w:pPr>
        <w:spacing w:after="0" w:line="480" w:lineRule="auto"/>
        <w:jc w:val="center"/>
      </w:pPr>
    </w:p>
    <w:p w:rsidR="00865125" w:rsidRDefault="00865125" w:rsidP="00E9502E">
      <w:pPr>
        <w:spacing w:after="0" w:line="480" w:lineRule="auto"/>
        <w:jc w:val="center"/>
      </w:pPr>
    </w:p>
    <w:p w:rsidR="00865125" w:rsidRDefault="00865125" w:rsidP="00E9502E">
      <w:pPr>
        <w:spacing w:after="0" w:line="480" w:lineRule="auto"/>
        <w:jc w:val="center"/>
      </w:pPr>
    </w:p>
    <w:p w:rsidR="00865125" w:rsidRDefault="00865125" w:rsidP="00E9502E">
      <w:pPr>
        <w:spacing w:after="0" w:line="480" w:lineRule="auto"/>
        <w:jc w:val="center"/>
      </w:pPr>
    </w:p>
    <w:p w:rsidR="00865125" w:rsidRDefault="00865125" w:rsidP="00E9502E">
      <w:pPr>
        <w:spacing w:after="0" w:line="480" w:lineRule="auto"/>
        <w:jc w:val="center"/>
      </w:pPr>
    </w:p>
    <w:p w:rsidR="00865125" w:rsidRPr="00865125" w:rsidRDefault="00865125" w:rsidP="00E9502E">
      <w:pPr>
        <w:spacing w:after="0" w:line="480" w:lineRule="auto"/>
        <w:jc w:val="center"/>
      </w:pPr>
      <w:r w:rsidRPr="00865125">
        <w:t>H</w:t>
      </w:r>
      <w:r>
        <w:t>IPAAV</w:t>
      </w:r>
      <w:r w:rsidRPr="00865125">
        <w:t xml:space="preserve">iolations and </w:t>
      </w:r>
      <w:r>
        <w:t>C</w:t>
      </w:r>
      <w:r w:rsidRPr="00865125">
        <w:t>ompliance</w:t>
      </w:r>
    </w:p>
    <w:p w:rsidR="00865125" w:rsidRPr="00865125" w:rsidRDefault="00865125" w:rsidP="00E9502E">
      <w:pPr>
        <w:spacing w:after="0" w:line="480" w:lineRule="auto"/>
        <w:jc w:val="center"/>
      </w:pPr>
      <w:r w:rsidRPr="00865125">
        <w:t>Name:</w:t>
      </w:r>
    </w:p>
    <w:p w:rsidR="00865125" w:rsidRPr="00865125" w:rsidRDefault="00865125" w:rsidP="00E9502E">
      <w:pPr>
        <w:spacing w:after="0" w:line="480" w:lineRule="auto"/>
        <w:jc w:val="center"/>
      </w:pPr>
      <w:r w:rsidRPr="00865125">
        <w:t>Institution:</w:t>
      </w:r>
    </w:p>
    <w:p w:rsidR="00865125" w:rsidRPr="00865125" w:rsidRDefault="00865125" w:rsidP="00E9502E">
      <w:pPr>
        <w:spacing w:after="0" w:line="480" w:lineRule="auto"/>
        <w:jc w:val="center"/>
      </w:pPr>
      <w:r w:rsidRPr="00865125">
        <w:t>Course:</w:t>
      </w:r>
    </w:p>
    <w:p w:rsidR="00865125" w:rsidRDefault="00865125" w:rsidP="00E9502E">
      <w:pPr>
        <w:spacing w:after="0" w:line="480" w:lineRule="auto"/>
        <w:jc w:val="center"/>
        <w:rPr>
          <w:b/>
          <w:bCs/>
        </w:rPr>
      </w:pPr>
      <w:r w:rsidRPr="00865125">
        <w:t>Date:</w:t>
      </w:r>
      <w:r>
        <w:rPr>
          <w:b/>
          <w:bCs/>
        </w:rPr>
        <w:br w:type="page"/>
      </w:r>
    </w:p>
    <w:p w:rsidR="00E9502E" w:rsidRPr="00E9502E" w:rsidRDefault="00E9502E" w:rsidP="00E9502E">
      <w:pPr>
        <w:spacing w:after="0" w:line="480" w:lineRule="auto"/>
        <w:jc w:val="center"/>
        <w:rPr>
          <w:rFonts w:eastAsia="Times New Roman" w:cs="Times New Roman"/>
          <w:color w:val="0E101A"/>
          <w:szCs w:val="24"/>
        </w:rPr>
      </w:pPr>
      <w:r w:rsidRPr="00E9502E">
        <w:rPr>
          <w:rFonts w:eastAsia="Times New Roman" w:cs="Times New Roman"/>
          <w:b/>
          <w:bCs/>
          <w:color w:val="0E101A"/>
          <w:szCs w:val="24"/>
        </w:rPr>
        <w:lastRenderedPageBreak/>
        <w:t>Introduction</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Human healthcare is crucial in improving human health, and one of the leading elements that improve human healthcare is research on health issues. Ethical health research and privacy protections offer significant and groundbreaking benefits to society. Protection of patient privacy has been significant in healthcare as through patient privacy, the interests of the individuals are protected. Protecting the privacy, confidentiality, and security of information on a patient’s health remains a crucial element as theorists like(Gostin, Levit, &amp; Nass, 2009) Fried, 2008, Moore, 2005 assert is applicability. They all agree that through respect of privacy, the human is given their moral uniqueness. Moreover, American society regards privacy, individual rights, personal choices, and the private sphere as important issues in an individual’s life.</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Medical records are categorized as important and most private information in the field of healthcare. Medical records are related to an individual’s most private issues, as most of their weaknesses are addressed through their medical records. Medical records constitute a patient’s mental and physical health and, in some cases, explicate information on an individual’s social behavior, private relationships, and financial status(Gostin, Levit, &amp; Nass, 2009). Surveys show that medical privacy is one of the most observed issues in healthcare by many Americans. With the increasing technological advances and technology-related privacy breaches, medical privacy remains significant more than ever—this report sought to address the issue of medical privacy in healthcare and how it affects patient safety. Moreover, the implacability of the issue on healthcare organizations and the recommendations to avoid medical privacy violations would be discussed coming up with a comprehensive and self-explanatory assertion on how the healthcare systems can go about the various medical privacy regulations set forth by the IOM.</w:t>
      </w:r>
    </w:p>
    <w:p w:rsidR="00E9502E" w:rsidRDefault="00E9502E" w:rsidP="00E9502E">
      <w:pPr>
        <w:spacing w:after="0" w:line="480" w:lineRule="auto"/>
        <w:jc w:val="center"/>
        <w:rPr>
          <w:rFonts w:eastAsia="Times New Roman" w:cs="Times New Roman"/>
          <w:b/>
          <w:bCs/>
          <w:color w:val="0E101A"/>
          <w:szCs w:val="24"/>
        </w:rPr>
      </w:pPr>
    </w:p>
    <w:p w:rsidR="00E9502E" w:rsidRPr="00E9502E" w:rsidRDefault="00E9502E" w:rsidP="00E9502E">
      <w:pPr>
        <w:spacing w:after="0" w:line="480" w:lineRule="auto"/>
        <w:jc w:val="center"/>
        <w:rPr>
          <w:rFonts w:eastAsia="Times New Roman" w:cs="Times New Roman"/>
          <w:color w:val="0E101A"/>
          <w:szCs w:val="24"/>
        </w:rPr>
      </w:pPr>
      <w:r w:rsidRPr="00E9502E">
        <w:rPr>
          <w:rFonts w:eastAsia="Times New Roman" w:cs="Times New Roman"/>
          <w:b/>
          <w:bCs/>
          <w:color w:val="0E101A"/>
          <w:szCs w:val="24"/>
        </w:rPr>
        <w:lastRenderedPageBreak/>
        <w:t>The legal approach</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The patient safety and Quality Improvement Act is famously known as PSQIA postulates a voluntary reporting system, which is meant to enhance the data available and assessable to resolve the safety of patients and issues in healthcare (HHS.GOV, 2020). The PSQIA provides Federal privilege and confidentiality protections as they sought to encourage reporting and medical error analysis, albeit the safety work product.</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The Health Insurance Portability and Accountability Act of 1996 covers issues to do with medical privacy through the HIPAA security and privacy rules. The HIPAA privacy rule points out on the nation-wide standards on the protection of health information. In contrast, the HIPAA security rule offers the standards for how medical records should be transferred through electronic means (HHS.GOV, 2020).</w:t>
      </w:r>
      <w:r>
        <w:rPr>
          <w:rFonts w:eastAsia="Times New Roman" w:cs="Times New Roman"/>
          <w:color w:val="0E101A"/>
          <w:szCs w:val="24"/>
        </w:rPr>
        <w:t xml:space="preserve"> </w:t>
      </w:r>
      <w:r w:rsidRPr="00E9502E">
        <w:rPr>
          <w:rFonts w:eastAsia="Times New Roman" w:cs="Times New Roman"/>
          <w:color w:val="0E101A"/>
          <w:szCs w:val="24"/>
        </w:rPr>
        <w:t>The department of health and human services office of the civil rights is in charge of the PSQIA and also oversees how institutions comply with the HIPAA by ensuring that CEs and Bas store medical records in the proper and allowable ways.</w:t>
      </w:r>
    </w:p>
    <w:p w:rsidR="00E9502E" w:rsidRPr="00E9502E" w:rsidRDefault="00E9502E" w:rsidP="00E9502E">
      <w:pPr>
        <w:spacing w:after="0" w:line="480" w:lineRule="auto"/>
        <w:jc w:val="center"/>
        <w:rPr>
          <w:rFonts w:eastAsia="Times New Roman" w:cs="Times New Roman"/>
          <w:color w:val="0E101A"/>
          <w:szCs w:val="24"/>
        </w:rPr>
      </w:pPr>
      <w:r w:rsidRPr="00E9502E">
        <w:rPr>
          <w:rFonts w:eastAsia="Times New Roman" w:cs="Times New Roman"/>
          <w:b/>
          <w:bCs/>
          <w:color w:val="0E101A"/>
          <w:szCs w:val="24"/>
        </w:rPr>
        <w:t>Potential Security Threat and Implications</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Under the HIPAA privacy and security rule, privacy of the protected health information of patients and secures this ePHI data when transferred, retrieved, and stored electronically. Based on the case study, there were numerous violations in the privacy and security of patient medical records that are likely to harm both the institution and the patient. Violating HIPAA rules leads to institutions to suffer from certain consequences, such as paying fines. Fines for HIPAA violations are applicable by the department of health and human services under the office of the OCR in situations even where there is no breath to PHI (HHS.GOV, 2020). The level of negligence determines these fines by the organization if there is a potential breach that risk the lives of patients and how many records have been exposed during the breach.</w:t>
      </w:r>
      <w:r>
        <w:rPr>
          <w:rFonts w:eastAsia="Times New Roman" w:cs="Times New Roman"/>
          <w:color w:val="0E101A"/>
          <w:szCs w:val="24"/>
        </w:rPr>
        <w:t xml:space="preserve"> </w:t>
      </w:r>
      <w:r w:rsidRPr="00E9502E">
        <w:rPr>
          <w:rFonts w:eastAsia="Times New Roman" w:cs="Times New Roman"/>
          <w:color w:val="0E101A"/>
          <w:szCs w:val="24"/>
        </w:rPr>
        <w:lastRenderedPageBreak/>
        <w:t>Attributable ignorance accrues a fine of around $100 - $50,000. Moreover, fines might even reach $1.5 million depending on the severity of the breach.</w:t>
      </w:r>
    </w:p>
    <w:p w:rsidR="00E9502E" w:rsidRPr="00E9502E" w:rsidRDefault="00E9502E" w:rsidP="00E9502E">
      <w:pPr>
        <w:spacing w:after="0" w:line="480" w:lineRule="auto"/>
        <w:jc w:val="center"/>
        <w:rPr>
          <w:rFonts w:eastAsia="Times New Roman" w:cs="Times New Roman"/>
          <w:color w:val="0E101A"/>
          <w:szCs w:val="24"/>
        </w:rPr>
      </w:pPr>
      <w:r w:rsidRPr="00E9502E">
        <w:rPr>
          <w:rFonts w:eastAsia="Times New Roman" w:cs="Times New Roman"/>
          <w:b/>
          <w:bCs/>
          <w:color w:val="0E101A"/>
          <w:szCs w:val="24"/>
        </w:rPr>
        <w:t>Risk assessment and management</w:t>
      </w:r>
    </w:p>
    <w:p w:rsid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Medical institutions are required to perform regular and thorough risk analyses as part of their security checks and protocols in their management practices. Under the HIPAA security rule, risk analysis has an implication on the safeguarding guidelines to be used. The risk analysis process includes evaluating the likelihood of a security breach and the potential risk it would have on the e-PHI. Methods on how to establish and implement the required security measures that address the identified risks in the risk analysis (HHS.GOV, 2020).</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 xml:space="preserve"> Lastly, the risks analysis process documents the chosen security measures and how they are adopted, maintaining continuous, reasonable, and acceptable protection.</w:t>
      </w:r>
      <w:r>
        <w:rPr>
          <w:rFonts w:eastAsia="Times New Roman" w:cs="Times New Roman"/>
          <w:color w:val="0E101A"/>
          <w:szCs w:val="24"/>
        </w:rPr>
        <w:t xml:space="preserve"> </w:t>
      </w:r>
      <w:r w:rsidRPr="00E9502E">
        <w:rPr>
          <w:rFonts w:eastAsia="Times New Roman" w:cs="Times New Roman"/>
          <w:color w:val="0E101A"/>
          <w:szCs w:val="24"/>
        </w:rPr>
        <w:t>In addition to the risk analysis and management process that medical institutions take to prevent violations of the HIPAA guidelines, there are administrative, physical, and technical safeguards adopted by these institutions.</w:t>
      </w:r>
    </w:p>
    <w:p w:rsidR="00E9502E" w:rsidRPr="00E9502E" w:rsidRDefault="00E9502E" w:rsidP="00E9502E">
      <w:pPr>
        <w:spacing w:after="0" w:line="480" w:lineRule="auto"/>
        <w:jc w:val="center"/>
        <w:rPr>
          <w:rFonts w:eastAsia="Times New Roman" w:cs="Times New Roman"/>
          <w:color w:val="0E101A"/>
          <w:szCs w:val="24"/>
        </w:rPr>
      </w:pPr>
      <w:r w:rsidRPr="00E9502E">
        <w:rPr>
          <w:rFonts w:eastAsia="Times New Roman" w:cs="Times New Roman"/>
          <w:b/>
          <w:bCs/>
          <w:color w:val="0E101A"/>
          <w:szCs w:val="24"/>
        </w:rPr>
        <w:t>Administrative safeguards</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The administrative safeguards include security management processes that incorporate identification and analysis of risks to the e-PHI and how security measures are implemented to reduce or eliminate the identified risks to reasonable levels. Moreover, there must be security personnel that is designated by the medical institution whose responsibility is to develop and implement the security policies and procedures (HHS.GOV, 2020). Access to PHI should be concurrent with the HIPAA privacy rule hence limiting who has access to the data and when. Institutions are expected to adopt a role-based approach to gaining access to e-PHI data within the institution.</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lastRenderedPageBreak/>
        <w:t>Institutions are also expected to conduct frequent workforce training about the HIPAA guidelines and PSQIA on safeguarding medical data. Moreover, there should be penalties set by the institutions when there are violations of these security guidelines by its employees. They should also conduct regular evaluations to check how effective their security measures are when it comes to the protection of e-PHI.</w:t>
      </w:r>
    </w:p>
    <w:p w:rsidR="00E9502E" w:rsidRPr="00E9502E" w:rsidRDefault="00E9502E" w:rsidP="00E9502E">
      <w:pPr>
        <w:spacing w:after="0" w:line="480" w:lineRule="auto"/>
        <w:jc w:val="center"/>
        <w:rPr>
          <w:rFonts w:eastAsia="Times New Roman" w:cs="Times New Roman"/>
          <w:color w:val="0E101A"/>
          <w:szCs w:val="24"/>
        </w:rPr>
      </w:pPr>
      <w:r w:rsidRPr="00E9502E">
        <w:rPr>
          <w:rFonts w:eastAsia="Times New Roman" w:cs="Times New Roman"/>
          <w:b/>
          <w:bCs/>
          <w:color w:val="0E101A"/>
          <w:szCs w:val="24"/>
        </w:rPr>
        <w:t>Physical safeguards</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Physical safeguards pertain to facility access and control, where the institution should have physical restrictions that prevent access to the institution by unauthorized personnel. Also, the institution should be able to provide guidelines and directions on how e-PHI is transferred, removed, disposed, and re-used to facilitate adequate protection of the e-PHI.</w:t>
      </w:r>
    </w:p>
    <w:p w:rsidR="00E9502E" w:rsidRPr="00E9502E" w:rsidRDefault="00E9502E" w:rsidP="00E9502E">
      <w:pPr>
        <w:spacing w:after="0" w:line="480" w:lineRule="auto"/>
        <w:jc w:val="center"/>
        <w:rPr>
          <w:rFonts w:eastAsia="Times New Roman" w:cs="Times New Roman"/>
          <w:color w:val="0E101A"/>
          <w:szCs w:val="24"/>
        </w:rPr>
      </w:pPr>
      <w:r w:rsidRPr="00E9502E">
        <w:rPr>
          <w:rFonts w:eastAsia="Times New Roman" w:cs="Times New Roman"/>
          <w:b/>
          <w:bCs/>
          <w:color w:val="0E101A"/>
          <w:szCs w:val="24"/>
        </w:rPr>
        <w:t>Technical safeguards</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These are confined to the technical aspect of applying the security and privacy rule of the HIPAA to prevent violations. In this (HHS.GOV, 2020), access and audit controls must be applied to ensure only authorized people can gain access to e-PHI and ensure both hardware and software and procedural mechanisms are implemented, which are useful in recording and examination of access among other activities that relate to e-PHI.</w:t>
      </w:r>
    </w:p>
    <w:p w:rsidR="00E9502E" w:rsidRPr="00E9502E" w:rsidRDefault="00E9502E" w:rsidP="00E9502E">
      <w:pPr>
        <w:spacing w:after="0" w:line="480" w:lineRule="auto"/>
        <w:jc w:val="center"/>
        <w:rPr>
          <w:rFonts w:eastAsia="Times New Roman" w:cs="Times New Roman"/>
          <w:color w:val="0E101A"/>
          <w:szCs w:val="24"/>
        </w:rPr>
      </w:pPr>
      <w:r w:rsidRPr="00E9502E">
        <w:rPr>
          <w:rFonts w:eastAsia="Times New Roman" w:cs="Times New Roman"/>
          <w:b/>
          <w:bCs/>
          <w:color w:val="0E101A"/>
          <w:szCs w:val="24"/>
        </w:rPr>
        <w:t>Role of Patient Safety Officer (PSO)</w:t>
      </w:r>
    </w:p>
    <w:p w:rsidR="00E9502E" w:rsidRPr="00E9502E" w:rsidRDefault="00E9502E" w:rsidP="00E9502E">
      <w:pPr>
        <w:spacing w:after="0" w:line="480" w:lineRule="auto"/>
        <w:ind w:firstLine="720"/>
        <w:rPr>
          <w:rFonts w:eastAsia="Times New Roman" w:cs="Times New Roman"/>
          <w:color w:val="0E101A"/>
          <w:szCs w:val="24"/>
        </w:rPr>
      </w:pPr>
      <w:r w:rsidRPr="00E9502E">
        <w:rPr>
          <w:rFonts w:eastAsia="Times New Roman" w:cs="Times New Roman"/>
          <w:color w:val="0E101A"/>
          <w:szCs w:val="24"/>
        </w:rPr>
        <w:t xml:space="preserve">The PSQIA has provisions on how to establish PSO who receive reports on patient safety concerns. The PSO’s extent is collecting and analyzing PHI and assessing if there is compliance with the HIPAA guidelines. The OCR works in conjunction with the PSO to ensure compliance with the HIPAA regulations. These officers ensure that patient data is stored as elaborated in the PSQIA and HIPAA guidelines of security and privacy to prevent breaches to patient records that could be detrimental to the organization and patients’ safety(Gostin, Levit, &amp; Nass, 2009). PSOs </w:t>
      </w:r>
      <w:r w:rsidRPr="00E9502E">
        <w:rPr>
          <w:rFonts w:eastAsia="Times New Roman" w:cs="Times New Roman"/>
          <w:color w:val="0E101A"/>
          <w:szCs w:val="24"/>
        </w:rPr>
        <w:lastRenderedPageBreak/>
        <w:t>must ensure that the healthcare institution has understood and appropriately interpreted the guidelines and put measures in place (administrative, physical, and technical safeguards) to prevent breaches. They also work with management when performing risk analyses to ensure that patient safety is given top priority within the organization. They also ensure that employees in health institutions adhere to security guidelines, such as controlling access to e-PHI data.</w:t>
      </w:r>
    </w:p>
    <w:p w:rsidR="00E9502E" w:rsidRPr="00E9502E" w:rsidRDefault="00E9502E" w:rsidP="00E9502E">
      <w:pPr>
        <w:spacing w:after="0" w:line="480" w:lineRule="auto"/>
        <w:jc w:val="center"/>
        <w:rPr>
          <w:rFonts w:eastAsia="Times New Roman" w:cs="Times New Roman"/>
          <w:color w:val="0E101A"/>
          <w:szCs w:val="24"/>
        </w:rPr>
      </w:pPr>
      <w:r w:rsidRPr="00E9502E">
        <w:rPr>
          <w:rFonts w:eastAsia="Times New Roman" w:cs="Times New Roman"/>
          <w:b/>
          <w:bCs/>
          <w:color w:val="0E101A"/>
          <w:szCs w:val="24"/>
        </w:rPr>
        <w:t>Recommendations</w:t>
      </w:r>
    </w:p>
    <w:p w:rsidR="00E9502E" w:rsidRPr="00E9502E" w:rsidRDefault="00E9502E" w:rsidP="00E9502E">
      <w:pPr>
        <w:spacing w:after="0" w:line="480" w:lineRule="auto"/>
        <w:rPr>
          <w:rFonts w:eastAsia="Times New Roman" w:cs="Times New Roman"/>
          <w:color w:val="0E101A"/>
          <w:szCs w:val="24"/>
        </w:rPr>
      </w:pPr>
      <w:r w:rsidRPr="00E9502E">
        <w:rPr>
          <w:rFonts w:eastAsia="Times New Roman" w:cs="Times New Roman"/>
          <w:color w:val="0E101A"/>
          <w:szCs w:val="24"/>
        </w:rPr>
        <w:t>This report offers the following recommendations;</w:t>
      </w:r>
    </w:p>
    <w:p w:rsidR="00E9502E" w:rsidRPr="00E9502E" w:rsidRDefault="00E9502E" w:rsidP="00E9502E">
      <w:pPr>
        <w:pStyle w:val="ListParagraph"/>
        <w:numPr>
          <w:ilvl w:val="0"/>
          <w:numId w:val="3"/>
        </w:numPr>
        <w:spacing w:after="0" w:line="480" w:lineRule="auto"/>
        <w:rPr>
          <w:rFonts w:eastAsia="Times New Roman" w:cs="Times New Roman"/>
          <w:color w:val="0E101A"/>
          <w:szCs w:val="24"/>
        </w:rPr>
      </w:pPr>
      <w:r w:rsidRPr="00E9502E">
        <w:rPr>
          <w:rFonts w:eastAsia="Times New Roman" w:cs="Times New Roman"/>
          <w:color w:val="0E101A"/>
          <w:szCs w:val="24"/>
        </w:rPr>
        <w:t>Use encryption and other technical practices to enhance data security.</w:t>
      </w:r>
    </w:p>
    <w:p w:rsidR="00E9502E" w:rsidRPr="00E9502E" w:rsidRDefault="00E9502E" w:rsidP="00E9502E">
      <w:pPr>
        <w:pStyle w:val="ListParagraph"/>
        <w:numPr>
          <w:ilvl w:val="0"/>
          <w:numId w:val="3"/>
        </w:numPr>
        <w:spacing w:after="0" w:line="480" w:lineRule="auto"/>
        <w:rPr>
          <w:rFonts w:eastAsia="Times New Roman" w:cs="Times New Roman"/>
          <w:color w:val="0E101A"/>
          <w:szCs w:val="24"/>
        </w:rPr>
      </w:pPr>
      <w:r w:rsidRPr="00E9502E">
        <w:rPr>
          <w:rFonts w:eastAsia="Times New Roman" w:cs="Times New Roman"/>
          <w:color w:val="0E101A"/>
          <w:szCs w:val="24"/>
        </w:rPr>
        <w:t>The institution should ensure to include security experts on IRBs</w:t>
      </w:r>
    </w:p>
    <w:p w:rsidR="00E9502E" w:rsidRPr="00E9502E" w:rsidRDefault="00E9502E" w:rsidP="00E9502E">
      <w:pPr>
        <w:pStyle w:val="ListParagraph"/>
        <w:numPr>
          <w:ilvl w:val="0"/>
          <w:numId w:val="3"/>
        </w:numPr>
        <w:spacing w:after="0" w:line="480" w:lineRule="auto"/>
        <w:rPr>
          <w:rFonts w:eastAsia="Times New Roman" w:cs="Times New Roman"/>
          <w:color w:val="0E101A"/>
          <w:szCs w:val="24"/>
        </w:rPr>
      </w:pPr>
      <w:r w:rsidRPr="00E9502E">
        <w:rPr>
          <w:rFonts w:eastAsia="Times New Roman" w:cs="Times New Roman"/>
          <w:color w:val="0E101A"/>
          <w:szCs w:val="24"/>
        </w:rPr>
        <w:t>There should be a breach notification requirement where patients can take necessary steps to protect their identity when another similar event occurs.</w:t>
      </w:r>
    </w:p>
    <w:p w:rsidR="00E9502E" w:rsidRPr="00E9502E" w:rsidRDefault="00E9502E" w:rsidP="00E9502E">
      <w:pPr>
        <w:pStyle w:val="ListParagraph"/>
        <w:numPr>
          <w:ilvl w:val="0"/>
          <w:numId w:val="3"/>
        </w:numPr>
        <w:spacing w:after="0" w:line="480" w:lineRule="auto"/>
        <w:rPr>
          <w:rFonts w:eastAsia="Times New Roman" w:cs="Times New Roman"/>
          <w:color w:val="0E101A"/>
          <w:szCs w:val="24"/>
        </w:rPr>
      </w:pPr>
      <w:r w:rsidRPr="00E9502E">
        <w:rPr>
          <w:rFonts w:eastAsia="Times New Roman" w:cs="Times New Roman"/>
          <w:color w:val="0E101A"/>
          <w:szCs w:val="24"/>
        </w:rPr>
        <w:t>To eliminate vulnerable single points, there should be the implementation of security layers protection that would prevent future security breaches.</w:t>
      </w:r>
    </w:p>
    <w:p w:rsidR="005D07F0" w:rsidRDefault="005D07F0" w:rsidP="00E9502E">
      <w:pPr>
        <w:spacing w:after="0" w:line="480" w:lineRule="auto"/>
      </w:pPr>
    </w:p>
    <w:p w:rsidR="005D07F0" w:rsidRDefault="005D07F0" w:rsidP="00E9502E">
      <w:pPr>
        <w:spacing w:after="0" w:line="480" w:lineRule="auto"/>
        <w:jc w:val="center"/>
      </w:pPr>
    </w:p>
    <w:p w:rsidR="00E9502E" w:rsidRDefault="00E9502E" w:rsidP="00E9502E">
      <w:pPr>
        <w:spacing w:after="0" w:line="480" w:lineRule="auto"/>
        <w:jc w:val="center"/>
      </w:pPr>
    </w:p>
    <w:p w:rsidR="00E9502E" w:rsidRDefault="00E9502E" w:rsidP="00E9502E">
      <w:pPr>
        <w:spacing w:after="0" w:line="480" w:lineRule="auto"/>
        <w:jc w:val="center"/>
      </w:pPr>
    </w:p>
    <w:p w:rsidR="00E9502E" w:rsidRDefault="00E9502E" w:rsidP="00E9502E">
      <w:pPr>
        <w:spacing w:after="0" w:line="480" w:lineRule="auto"/>
        <w:jc w:val="center"/>
      </w:pPr>
    </w:p>
    <w:p w:rsidR="00E9502E" w:rsidRDefault="00E9502E" w:rsidP="00E9502E">
      <w:pPr>
        <w:spacing w:after="0" w:line="480" w:lineRule="auto"/>
        <w:jc w:val="center"/>
      </w:pPr>
    </w:p>
    <w:p w:rsidR="00E9502E" w:rsidRDefault="00E9502E" w:rsidP="00E9502E">
      <w:pPr>
        <w:spacing w:after="0" w:line="480" w:lineRule="auto"/>
        <w:jc w:val="center"/>
      </w:pPr>
    </w:p>
    <w:p w:rsidR="00E9502E" w:rsidRDefault="00E9502E" w:rsidP="00E9502E">
      <w:pPr>
        <w:spacing w:after="0" w:line="480" w:lineRule="auto"/>
        <w:jc w:val="center"/>
      </w:pPr>
    </w:p>
    <w:p w:rsidR="00E9502E" w:rsidRDefault="00E9502E" w:rsidP="00E9502E">
      <w:pPr>
        <w:spacing w:after="0" w:line="480" w:lineRule="auto"/>
        <w:jc w:val="center"/>
      </w:pPr>
    </w:p>
    <w:p w:rsidR="00E9502E" w:rsidRDefault="00E9502E" w:rsidP="00E9502E">
      <w:pPr>
        <w:spacing w:after="0" w:line="480" w:lineRule="auto"/>
        <w:jc w:val="center"/>
      </w:pPr>
    </w:p>
    <w:p w:rsidR="005D07F0" w:rsidRDefault="005D07F0" w:rsidP="00E9502E">
      <w:pPr>
        <w:spacing w:after="0" w:line="480" w:lineRule="auto"/>
        <w:jc w:val="center"/>
      </w:pPr>
      <w:r>
        <w:lastRenderedPageBreak/>
        <w:t>References</w:t>
      </w:r>
    </w:p>
    <w:p w:rsidR="005D07F0" w:rsidRDefault="005D07F0" w:rsidP="00E9502E">
      <w:pPr>
        <w:spacing w:after="0" w:line="480" w:lineRule="auto"/>
      </w:pPr>
      <w:r w:rsidRPr="005D07F0">
        <w:t>Gostin, L. O., Levit, L. A., &amp; Nass, S. J. (Eds.). (2009).</w:t>
      </w:r>
      <w:r w:rsidR="00E9502E">
        <w:t xml:space="preserve"> Beyond the HIPAA privacy rule:</w:t>
      </w:r>
      <w:r w:rsidR="00E9502E">
        <w:tab/>
      </w:r>
      <w:r w:rsidRPr="005D07F0">
        <w:t>enhancing privacy, improving health through research. National Academies Press.</w:t>
      </w:r>
    </w:p>
    <w:p w:rsidR="005D07F0" w:rsidRDefault="005D07F0" w:rsidP="00E9502E">
      <w:pPr>
        <w:spacing w:after="0" w:line="480" w:lineRule="auto"/>
      </w:pPr>
      <w:r>
        <w:t>HIPAAJOURNAL.com. (2020). HIPAA violation cases. Retrieve from:</w:t>
      </w:r>
      <w:r w:rsidR="00E9502E">
        <w:tab/>
      </w:r>
      <w:hyperlink r:id="rId7" w:history="1">
        <w:r>
          <w:rPr>
            <w:rStyle w:val="Hyperlink"/>
          </w:rPr>
          <w:t>https://www.hipaajournal.com/hipaa-violation-cases/</w:t>
        </w:r>
      </w:hyperlink>
    </w:p>
    <w:p w:rsidR="005D07F0" w:rsidRDefault="005D07F0" w:rsidP="00E9502E">
      <w:pPr>
        <w:spacing w:after="0" w:line="480" w:lineRule="auto"/>
      </w:pPr>
      <w:r>
        <w:t>HHS.GOV. (2020). Summary of the HIPAA security rule. Retrieved from:</w:t>
      </w:r>
      <w:r w:rsidR="00E9502E">
        <w:tab/>
      </w:r>
      <w:hyperlink r:id="rId8" w:history="1">
        <w:r>
          <w:rPr>
            <w:rStyle w:val="Hyperlink"/>
          </w:rPr>
          <w:t>https://www.hhs.gov/hipaa/for-professionals/security/laws-regulations/index.html</w:t>
        </w:r>
      </w:hyperlink>
    </w:p>
    <w:p w:rsidR="005D07F0" w:rsidRDefault="005D07F0" w:rsidP="00E9502E">
      <w:pPr>
        <w:spacing w:after="0" w:line="480" w:lineRule="auto"/>
      </w:pPr>
    </w:p>
    <w:sectPr w:rsidR="005D07F0" w:rsidSect="0086512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94C" w:rsidRDefault="00F5294C" w:rsidP="00865125">
      <w:pPr>
        <w:spacing w:after="0" w:line="240" w:lineRule="auto"/>
      </w:pPr>
      <w:r>
        <w:separator/>
      </w:r>
    </w:p>
  </w:endnote>
  <w:endnote w:type="continuationSeparator" w:id="1">
    <w:p w:rsidR="00F5294C" w:rsidRDefault="00F5294C" w:rsidP="008651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94C" w:rsidRDefault="00F5294C" w:rsidP="00865125">
      <w:pPr>
        <w:spacing w:after="0" w:line="240" w:lineRule="auto"/>
      </w:pPr>
      <w:r>
        <w:separator/>
      </w:r>
    </w:p>
  </w:footnote>
  <w:footnote w:type="continuationSeparator" w:id="1">
    <w:p w:rsidR="00F5294C" w:rsidRDefault="00F5294C" w:rsidP="008651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125" w:rsidRDefault="00865125">
    <w:pPr>
      <w:pStyle w:val="Header"/>
      <w:jc w:val="right"/>
    </w:pPr>
    <w:r>
      <w:t>HIPAA VIOLATIONS AND COMPLIANCE</w:t>
    </w:r>
    <w:r>
      <w:tab/>
    </w:r>
    <w:r>
      <w:tab/>
    </w:r>
    <w:sdt>
      <w:sdtPr>
        <w:id w:val="484666594"/>
        <w:docPartObj>
          <w:docPartGallery w:val="Page Numbers (Top of Page)"/>
          <w:docPartUnique/>
        </w:docPartObj>
      </w:sdtPr>
      <w:sdtEndPr>
        <w:rPr>
          <w:noProof/>
        </w:rPr>
      </w:sdtEndPr>
      <w:sdtContent>
        <w:r w:rsidR="008903E1">
          <w:fldChar w:fldCharType="begin"/>
        </w:r>
        <w:r>
          <w:instrText xml:space="preserve"> PAGE   \* MERGEFORMAT </w:instrText>
        </w:r>
        <w:r w:rsidR="008903E1">
          <w:fldChar w:fldCharType="separate"/>
        </w:r>
        <w:r w:rsidR="00E9502E">
          <w:rPr>
            <w:noProof/>
          </w:rPr>
          <w:t>4</w:t>
        </w:r>
        <w:r w:rsidR="008903E1">
          <w:rPr>
            <w:noProof/>
          </w:rPr>
          <w:fldChar w:fldCharType="end"/>
        </w:r>
      </w:sdtContent>
    </w:sdt>
  </w:p>
  <w:p w:rsidR="00865125" w:rsidRDefault="008651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125" w:rsidRDefault="00865125">
    <w:pPr>
      <w:pStyle w:val="Header"/>
      <w:jc w:val="right"/>
    </w:pPr>
    <w:r>
      <w:t>Running head: HIPAA VIOLATIONS AND COMPLIANCE</w:t>
    </w:r>
    <w:r>
      <w:tab/>
    </w:r>
    <w:sdt>
      <w:sdtPr>
        <w:id w:val="-1663316807"/>
        <w:docPartObj>
          <w:docPartGallery w:val="Page Numbers (Top of Page)"/>
          <w:docPartUnique/>
        </w:docPartObj>
      </w:sdtPr>
      <w:sdtEndPr>
        <w:rPr>
          <w:noProof/>
        </w:rPr>
      </w:sdtEndPr>
      <w:sdtContent>
        <w:r w:rsidR="008903E1">
          <w:fldChar w:fldCharType="begin"/>
        </w:r>
        <w:r>
          <w:instrText xml:space="preserve"> PAGE   \* MERGEFORMAT </w:instrText>
        </w:r>
        <w:r w:rsidR="008903E1">
          <w:fldChar w:fldCharType="separate"/>
        </w:r>
        <w:r w:rsidR="00E9502E">
          <w:rPr>
            <w:noProof/>
          </w:rPr>
          <w:t>1</w:t>
        </w:r>
        <w:r w:rsidR="008903E1">
          <w:rPr>
            <w:noProof/>
          </w:rPr>
          <w:fldChar w:fldCharType="end"/>
        </w:r>
      </w:sdtContent>
    </w:sdt>
  </w:p>
  <w:p w:rsidR="00865125" w:rsidRDefault="008651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E1E77"/>
    <w:multiLevelType w:val="hybridMultilevel"/>
    <w:tmpl w:val="FBF6B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C05A26"/>
    <w:multiLevelType w:val="hybridMultilevel"/>
    <w:tmpl w:val="5E5697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1B6479E"/>
    <w:multiLevelType w:val="multilevel"/>
    <w:tmpl w:val="99EC8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F183E"/>
    <w:rsid w:val="000B0AE2"/>
    <w:rsid w:val="000D08F5"/>
    <w:rsid w:val="002F183E"/>
    <w:rsid w:val="00321E20"/>
    <w:rsid w:val="00336B84"/>
    <w:rsid w:val="00410AD8"/>
    <w:rsid w:val="004446D0"/>
    <w:rsid w:val="004B665E"/>
    <w:rsid w:val="005D07F0"/>
    <w:rsid w:val="00754E81"/>
    <w:rsid w:val="00846C7E"/>
    <w:rsid w:val="00865125"/>
    <w:rsid w:val="008903E1"/>
    <w:rsid w:val="008A38C2"/>
    <w:rsid w:val="009E411C"/>
    <w:rsid w:val="00A03505"/>
    <w:rsid w:val="00A22A9A"/>
    <w:rsid w:val="00A86A20"/>
    <w:rsid w:val="00B27480"/>
    <w:rsid w:val="00C74CEF"/>
    <w:rsid w:val="00E6093F"/>
    <w:rsid w:val="00E9502E"/>
    <w:rsid w:val="00F35A6D"/>
    <w:rsid w:val="00F5294C"/>
    <w:rsid w:val="00F55533"/>
    <w:rsid w:val="00F679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3E1"/>
  </w:style>
  <w:style w:type="paragraph" w:styleId="Heading1">
    <w:name w:val="heading 1"/>
    <w:basedOn w:val="Normal"/>
    <w:next w:val="Normal"/>
    <w:link w:val="Heading1Char"/>
    <w:uiPriority w:val="9"/>
    <w:qFormat/>
    <w:rsid w:val="00A86A20"/>
    <w:pPr>
      <w:keepNext/>
      <w:keepLines/>
      <w:spacing w:before="240" w:after="0"/>
      <w:outlineLvl w:val="0"/>
    </w:pPr>
    <w:rPr>
      <w:rFonts w:eastAsiaTheme="majorEastAsia" w:cstheme="majorBidi"/>
      <w:color w:val="2F5496" w:themeColor="accent1" w:themeShade="BF"/>
      <w:sz w:val="28"/>
      <w:szCs w:val="32"/>
    </w:rPr>
  </w:style>
  <w:style w:type="paragraph" w:styleId="Heading2">
    <w:name w:val="heading 2"/>
    <w:basedOn w:val="Normal"/>
    <w:next w:val="Normal"/>
    <w:link w:val="Heading2Char"/>
    <w:uiPriority w:val="9"/>
    <w:semiHidden/>
    <w:unhideWhenUsed/>
    <w:qFormat/>
    <w:rsid w:val="00A86A20"/>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86A20"/>
    <w:pPr>
      <w:keepNext/>
      <w:keepLines/>
      <w:spacing w:before="40" w:after="0"/>
      <w:outlineLvl w:val="2"/>
    </w:pPr>
    <w:rPr>
      <w:rFonts w:eastAsiaTheme="majorEastAsia"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A20"/>
    <w:rPr>
      <w:rFonts w:eastAsiaTheme="majorEastAsia" w:cstheme="majorBidi"/>
      <w:color w:val="2F5496" w:themeColor="accent1" w:themeShade="BF"/>
      <w:sz w:val="28"/>
      <w:szCs w:val="32"/>
    </w:rPr>
  </w:style>
  <w:style w:type="character" w:customStyle="1" w:styleId="Heading2Char">
    <w:name w:val="Heading 2 Char"/>
    <w:basedOn w:val="DefaultParagraphFont"/>
    <w:link w:val="Heading2"/>
    <w:uiPriority w:val="9"/>
    <w:semiHidden/>
    <w:rsid w:val="00A86A20"/>
    <w:rPr>
      <w:rFonts w:eastAsiaTheme="majorEastAsia"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86A20"/>
    <w:rPr>
      <w:rFonts w:eastAsiaTheme="majorEastAsia" w:cstheme="majorBidi"/>
      <w:color w:val="1F3763" w:themeColor="accent1" w:themeShade="7F"/>
      <w:szCs w:val="24"/>
    </w:rPr>
  </w:style>
  <w:style w:type="paragraph" w:styleId="ListParagraph">
    <w:name w:val="List Paragraph"/>
    <w:basedOn w:val="Normal"/>
    <w:uiPriority w:val="34"/>
    <w:qFormat/>
    <w:rsid w:val="00F6794A"/>
    <w:pPr>
      <w:ind w:left="720"/>
      <w:contextualSpacing/>
    </w:pPr>
  </w:style>
  <w:style w:type="character" w:styleId="Hyperlink">
    <w:name w:val="Hyperlink"/>
    <w:basedOn w:val="DefaultParagraphFont"/>
    <w:uiPriority w:val="99"/>
    <w:semiHidden/>
    <w:unhideWhenUsed/>
    <w:rsid w:val="005D07F0"/>
    <w:rPr>
      <w:color w:val="0000FF"/>
      <w:u w:val="single"/>
    </w:rPr>
  </w:style>
  <w:style w:type="paragraph" w:styleId="Header">
    <w:name w:val="header"/>
    <w:basedOn w:val="Normal"/>
    <w:link w:val="HeaderChar"/>
    <w:uiPriority w:val="99"/>
    <w:unhideWhenUsed/>
    <w:rsid w:val="00865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125"/>
  </w:style>
  <w:style w:type="paragraph" w:styleId="Footer">
    <w:name w:val="footer"/>
    <w:basedOn w:val="Normal"/>
    <w:link w:val="FooterChar"/>
    <w:uiPriority w:val="99"/>
    <w:unhideWhenUsed/>
    <w:rsid w:val="00865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125"/>
  </w:style>
  <w:style w:type="paragraph" w:styleId="NormalWeb">
    <w:name w:val="Normal (Web)"/>
    <w:basedOn w:val="Normal"/>
    <w:uiPriority w:val="99"/>
    <w:semiHidden/>
    <w:unhideWhenUsed/>
    <w:rsid w:val="00E9502E"/>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9502E"/>
    <w:rPr>
      <w:b/>
      <w:bCs/>
    </w:rPr>
  </w:style>
</w:styles>
</file>

<file path=word/webSettings.xml><?xml version="1.0" encoding="utf-8"?>
<w:webSettings xmlns:r="http://schemas.openxmlformats.org/officeDocument/2006/relationships" xmlns:w="http://schemas.openxmlformats.org/wordprocessingml/2006/main">
  <w:divs>
    <w:div w:id="91856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hipaa/for-professionals/security/laws-regulations/index.html" TargetMode="External"/><Relationship Id="rId3" Type="http://schemas.openxmlformats.org/officeDocument/2006/relationships/settings" Target="settings.xml"/><Relationship Id="rId7" Type="http://schemas.openxmlformats.org/officeDocument/2006/relationships/hyperlink" Target="https://www.hipaajournal.com/hipaa-violation-cas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7</Pages>
  <Words>1380</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kapyenga</dc:creator>
  <cp:keywords/>
  <dc:description/>
  <cp:lastModifiedBy>kapyenga</cp:lastModifiedBy>
  <cp:revision>13</cp:revision>
  <dcterms:created xsi:type="dcterms:W3CDTF">2020-07-12T12:09:00Z</dcterms:created>
  <dcterms:modified xsi:type="dcterms:W3CDTF">2020-07-12T19:35:00Z</dcterms:modified>
</cp:coreProperties>
</file>